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FCC" w:rsidRPr="00412FCC" w:rsidRDefault="00412FCC" w:rsidP="00412FCC">
      <w:pPr>
        <w:suppressAutoHyphens/>
        <w:jc w:val="both"/>
        <w:rPr>
          <w:rFonts w:ascii="Verdana" w:hAnsi="Verdana"/>
          <w:b/>
          <w:bCs/>
          <w:sz w:val="22"/>
          <w:szCs w:val="22"/>
          <w:lang w:val="en-GB" w:eastAsia="ar-SA"/>
        </w:rPr>
      </w:pPr>
      <w:r w:rsidRPr="00412FCC">
        <w:rPr>
          <w:rFonts w:ascii="Verdana" w:hAnsi="Verdana"/>
          <w:b/>
          <w:bCs/>
          <w:sz w:val="22"/>
          <w:szCs w:val="22"/>
          <w:lang w:val="en-GB" w:eastAsia="ar-SA"/>
        </w:rPr>
        <w:t>Drugs Education</w:t>
      </w:r>
    </w:p>
    <w:p w:rsidR="00412FCC" w:rsidRPr="00412FCC" w:rsidRDefault="00412FCC" w:rsidP="00412FCC">
      <w:pPr>
        <w:suppressAutoHyphens/>
        <w:jc w:val="both"/>
        <w:rPr>
          <w:rFonts w:ascii="Verdana" w:hAnsi="Verdana"/>
          <w:b/>
          <w:bCs/>
          <w:sz w:val="22"/>
          <w:szCs w:val="22"/>
          <w:lang w:val="en-GB" w:eastAsia="ar-SA"/>
        </w:rPr>
      </w:pPr>
    </w:p>
    <w:tbl>
      <w:tblPr>
        <w:tblW w:w="1403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gridCol w:w="4678"/>
      </w:tblGrid>
      <w:tr w:rsidR="00412FCC" w:rsidRPr="00412FCC" w:rsidTr="00655617">
        <w:tc>
          <w:tcPr>
            <w:tcW w:w="4678" w:type="dxa"/>
            <w:shd w:val="clear" w:color="auto" w:fill="D9D9D9"/>
          </w:tcPr>
          <w:p w:rsidR="00412FCC" w:rsidRPr="00412FCC" w:rsidRDefault="00412FCC" w:rsidP="00412FCC">
            <w:pPr>
              <w:suppressAutoHyphens/>
              <w:jc w:val="center"/>
              <w:rPr>
                <w:rFonts w:ascii="Verdana" w:hAnsi="Verdana"/>
                <w:b/>
                <w:sz w:val="22"/>
                <w:szCs w:val="22"/>
                <w:lang w:val="en-GB" w:eastAsia="ar-SA"/>
              </w:rPr>
            </w:pPr>
            <w:r w:rsidRPr="00412FCC">
              <w:rPr>
                <w:rFonts w:ascii="Verdana" w:hAnsi="Verdana"/>
                <w:b/>
                <w:sz w:val="22"/>
                <w:szCs w:val="22"/>
                <w:lang w:val="en-GB" w:eastAsia="ar-SA"/>
              </w:rPr>
              <w:t>INTENT</w:t>
            </w:r>
          </w:p>
        </w:tc>
        <w:tc>
          <w:tcPr>
            <w:tcW w:w="4678" w:type="dxa"/>
            <w:shd w:val="clear" w:color="auto" w:fill="D9D9D9"/>
          </w:tcPr>
          <w:p w:rsidR="00412FCC" w:rsidRPr="00412FCC" w:rsidRDefault="00412FCC" w:rsidP="00412FCC">
            <w:pPr>
              <w:suppressAutoHyphens/>
              <w:jc w:val="center"/>
              <w:rPr>
                <w:rFonts w:ascii="Verdana" w:hAnsi="Verdana"/>
                <w:b/>
                <w:sz w:val="22"/>
                <w:szCs w:val="22"/>
                <w:lang w:val="en-GB" w:eastAsia="ar-SA"/>
              </w:rPr>
            </w:pPr>
            <w:r w:rsidRPr="00412FCC">
              <w:rPr>
                <w:rFonts w:ascii="Verdana" w:hAnsi="Verdana"/>
                <w:b/>
                <w:sz w:val="22"/>
                <w:szCs w:val="22"/>
                <w:lang w:val="en-GB" w:eastAsia="ar-SA"/>
              </w:rPr>
              <w:t>IMPLEMENTATION</w:t>
            </w:r>
          </w:p>
        </w:tc>
        <w:tc>
          <w:tcPr>
            <w:tcW w:w="4678" w:type="dxa"/>
            <w:shd w:val="clear" w:color="auto" w:fill="D9D9D9"/>
          </w:tcPr>
          <w:p w:rsidR="00412FCC" w:rsidRPr="00412FCC" w:rsidRDefault="00412FCC" w:rsidP="00412FCC">
            <w:pPr>
              <w:suppressAutoHyphens/>
              <w:jc w:val="center"/>
              <w:rPr>
                <w:rFonts w:ascii="Verdana" w:hAnsi="Verdana"/>
                <w:b/>
                <w:sz w:val="22"/>
                <w:szCs w:val="22"/>
                <w:lang w:val="en-GB" w:eastAsia="ar-SA"/>
              </w:rPr>
            </w:pPr>
            <w:r w:rsidRPr="00412FCC">
              <w:rPr>
                <w:rFonts w:ascii="Verdana" w:hAnsi="Verdana"/>
                <w:b/>
                <w:sz w:val="22"/>
                <w:szCs w:val="22"/>
                <w:lang w:val="en-GB" w:eastAsia="ar-SA"/>
              </w:rPr>
              <w:t>IMPACT</w:t>
            </w:r>
          </w:p>
        </w:tc>
      </w:tr>
      <w:tr w:rsidR="00412FCC" w:rsidRPr="00412FCC" w:rsidTr="00655617">
        <w:tc>
          <w:tcPr>
            <w:tcW w:w="4678" w:type="dxa"/>
            <w:shd w:val="clear" w:color="auto" w:fill="auto"/>
          </w:tcPr>
          <w:p w:rsidR="00412FCC" w:rsidRPr="00412FCC" w:rsidRDefault="00412FCC" w:rsidP="00412FCC">
            <w:pPr>
              <w:tabs>
                <w:tab w:val="left" w:pos="720"/>
              </w:tabs>
              <w:suppressAutoHyphens/>
              <w:rPr>
                <w:rFonts w:ascii="Verdana" w:hAnsi="Verdana"/>
                <w:sz w:val="19"/>
                <w:szCs w:val="19"/>
                <w:lang w:val="en-GB" w:eastAsia="ar-SA"/>
              </w:rPr>
            </w:pPr>
            <w:r w:rsidRPr="00412FCC">
              <w:rPr>
                <w:rFonts w:ascii="Verdana" w:hAnsi="Verdana"/>
                <w:sz w:val="19"/>
                <w:szCs w:val="19"/>
                <w:lang w:val="en-GB" w:eastAsia="ar-SA"/>
              </w:rPr>
              <w:t>At Branston Junior Academy we believe that all drugs have the potential for harm.</w:t>
            </w:r>
          </w:p>
          <w:p w:rsidR="00412FCC" w:rsidRPr="00412FCC" w:rsidRDefault="00412FCC" w:rsidP="00412FCC">
            <w:pPr>
              <w:tabs>
                <w:tab w:val="left" w:pos="720"/>
              </w:tabs>
              <w:suppressAutoHyphens/>
              <w:rPr>
                <w:rFonts w:ascii="Verdana" w:hAnsi="Verdana"/>
                <w:sz w:val="19"/>
                <w:szCs w:val="19"/>
                <w:lang w:val="en-GB" w:eastAsia="ar-SA"/>
              </w:rPr>
            </w:pPr>
          </w:p>
          <w:p w:rsidR="00412FCC" w:rsidRPr="00412FCC" w:rsidRDefault="00412FCC" w:rsidP="00412FCC">
            <w:pPr>
              <w:tabs>
                <w:tab w:val="left" w:pos="720"/>
              </w:tabs>
              <w:suppressAutoHyphens/>
              <w:rPr>
                <w:rFonts w:ascii="Verdana" w:hAnsi="Verdana"/>
                <w:sz w:val="19"/>
                <w:szCs w:val="19"/>
                <w:lang w:val="en-GB" w:eastAsia="ar-SA"/>
              </w:rPr>
            </w:pPr>
            <w:r w:rsidRPr="00412FCC">
              <w:rPr>
                <w:rFonts w:ascii="Verdana" w:hAnsi="Verdana"/>
                <w:sz w:val="19"/>
                <w:szCs w:val="19"/>
                <w:lang w:val="en-GB" w:eastAsia="ar-SA"/>
              </w:rPr>
              <w:t>The Academy defines ‘drugs’ as:</w:t>
            </w:r>
          </w:p>
          <w:p w:rsidR="00412FCC" w:rsidRPr="00412FCC" w:rsidRDefault="00412FCC" w:rsidP="00412FCC">
            <w:pPr>
              <w:numPr>
                <w:ilvl w:val="0"/>
                <w:numId w:val="23"/>
              </w:numPr>
              <w:tabs>
                <w:tab w:val="left" w:pos="316"/>
              </w:tabs>
              <w:suppressAutoHyphens/>
              <w:rPr>
                <w:rFonts w:ascii="Verdana" w:hAnsi="Verdana"/>
                <w:sz w:val="19"/>
                <w:szCs w:val="19"/>
                <w:lang w:val="en-GB" w:eastAsia="ar-SA"/>
              </w:rPr>
            </w:pPr>
            <w:r w:rsidRPr="00412FCC">
              <w:rPr>
                <w:rFonts w:ascii="Verdana" w:hAnsi="Verdana"/>
                <w:sz w:val="19"/>
                <w:szCs w:val="19"/>
                <w:lang w:val="en-GB" w:eastAsia="ar-SA"/>
              </w:rPr>
              <w:t>substances with addictive properties (as defined under the Drugs Act 1971)</w:t>
            </w:r>
          </w:p>
          <w:p w:rsidR="00412FCC" w:rsidRPr="00412FCC" w:rsidRDefault="00412FCC" w:rsidP="00412FCC">
            <w:pPr>
              <w:numPr>
                <w:ilvl w:val="0"/>
                <w:numId w:val="23"/>
              </w:numPr>
              <w:tabs>
                <w:tab w:val="left" w:pos="316"/>
              </w:tabs>
              <w:suppressAutoHyphens/>
              <w:rPr>
                <w:rFonts w:ascii="Verdana" w:hAnsi="Verdana"/>
                <w:sz w:val="19"/>
                <w:szCs w:val="19"/>
                <w:lang w:val="en-GB" w:eastAsia="ar-SA"/>
              </w:rPr>
            </w:pPr>
            <w:r w:rsidRPr="00412FCC">
              <w:rPr>
                <w:rFonts w:ascii="Verdana" w:hAnsi="Verdana"/>
                <w:sz w:val="19"/>
                <w:szCs w:val="19"/>
                <w:lang w:val="en-GB" w:eastAsia="ar-SA"/>
              </w:rPr>
              <w:t>substances containing stimulants such as caffeine and ‘E’ numbers</w:t>
            </w:r>
          </w:p>
          <w:p w:rsidR="00412FCC" w:rsidRPr="00412FCC" w:rsidRDefault="00412FCC" w:rsidP="00412FCC">
            <w:pPr>
              <w:numPr>
                <w:ilvl w:val="0"/>
                <w:numId w:val="23"/>
              </w:numPr>
              <w:tabs>
                <w:tab w:val="left" w:pos="316"/>
              </w:tabs>
              <w:suppressAutoHyphens/>
              <w:rPr>
                <w:rFonts w:ascii="Verdana" w:hAnsi="Verdana"/>
                <w:sz w:val="19"/>
                <w:szCs w:val="19"/>
                <w:lang w:val="en-GB" w:eastAsia="ar-SA"/>
              </w:rPr>
            </w:pPr>
            <w:r w:rsidRPr="00412FCC">
              <w:rPr>
                <w:rFonts w:ascii="Verdana" w:hAnsi="Verdana"/>
                <w:sz w:val="19"/>
                <w:szCs w:val="19"/>
                <w:lang w:val="en-GB" w:eastAsia="ar-SA"/>
              </w:rPr>
              <w:t xml:space="preserve">substances with medicinal properties ( </w:t>
            </w:r>
            <w:proofErr w:type="spellStart"/>
            <w:r w:rsidRPr="00412FCC">
              <w:rPr>
                <w:rFonts w:ascii="Verdana" w:hAnsi="Verdana"/>
                <w:sz w:val="19"/>
                <w:szCs w:val="19"/>
                <w:lang w:val="en-GB" w:eastAsia="ar-SA"/>
              </w:rPr>
              <w:t>eg</w:t>
            </w:r>
            <w:proofErr w:type="spellEnd"/>
            <w:r w:rsidRPr="00412FCC">
              <w:rPr>
                <w:rFonts w:ascii="Verdana" w:hAnsi="Verdana"/>
                <w:sz w:val="19"/>
                <w:szCs w:val="19"/>
                <w:lang w:val="en-GB" w:eastAsia="ar-SA"/>
              </w:rPr>
              <w:t>; penicillin, aspirin)</w:t>
            </w:r>
          </w:p>
          <w:p w:rsidR="00412FCC" w:rsidRPr="00412FCC" w:rsidRDefault="00412FCC" w:rsidP="00412FCC">
            <w:pPr>
              <w:tabs>
                <w:tab w:val="left" w:pos="316"/>
              </w:tabs>
              <w:suppressAutoHyphens/>
              <w:rPr>
                <w:rFonts w:ascii="Verdana" w:hAnsi="Verdana"/>
                <w:sz w:val="19"/>
                <w:szCs w:val="19"/>
                <w:lang w:val="en-GB" w:eastAsia="ar-SA"/>
              </w:rPr>
            </w:pPr>
            <w:r w:rsidRPr="00412FCC">
              <w:rPr>
                <w:rFonts w:ascii="Verdana" w:hAnsi="Verdana"/>
                <w:sz w:val="19"/>
                <w:szCs w:val="19"/>
                <w:lang w:val="en-GB" w:eastAsia="ar-SA"/>
              </w:rPr>
              <w:t xml:space="preserve">The Academy distinguishes between the substances identified in 1. </w:t>
            </w:r>
            <w:proofErr w:type="gramStart"/>
            <w:r w:rsidRPr="00412FCC">
              <w:rPr>
                <w:rFonts w:ascii="Verdana" w:hAnsi="Verdana"/>
                <w:sz w:val="19"/>
                <w:szCs w:val="19"/>
                <w:lang w:val="en-GB" w:eastAsia="ar-SA"/>
              </w:rPr>
              <w:t>and</w:t>
            </w:r>
            <w:proofErr w:type="gramEnd"/>
            <w:r w:rsidRPr="00412FCC">
              <w:rPr>
                <w:rFonts w:ascii="Verdana" w:hAnsi="Verdana"/>
                <w:sz w:val="19"/>
                <w:szCs w:val="19"/>
                <w:lang w:val="en-GB" w:eastAsia="ar-SA"/>
              </w:rPr>
              <w:t xml:space="preserve"> 2., which may be considered harmful and which require an educational program, and those identified in 3., which are considered necessary for medical reasons.</w:t>
            </w:r>
          </w:p>
          <w:p w:rsidR="00412FCC" w:rsidRPr="00412FCC" w:rsidRDefault="00412FCC" w:rsidP="00412FCC">
            <w:pPr>
              <w:tabs>
                <w:tab w:val="left" w:pos="316"/>
              </w:tabs>
              <w:suppressAutoHyphens/>
              <w:rPr>
                <w:rFonts w:ascii="Verdana" w:hAnsi="Verdana"/>
                <w:sz w:val="19"/>
                <w:szCs w:val="19"/>
                <w:lang w:val="en-GB" w:eastAsia="ar-SA"/>
              </w:rPr>
            </w:pPr>
          </w:p>
          <w:p w:rsidR="00412FCC" w:rsidRPr="00412FCC" w:rsidRDefault="00412FCC" w:rsidP="00412FCC">
            <w:pPr>
              <w:tabs>
                <w:tab w:val="left" w:pos="316"/>
              </w:tabs>
              <w:suppressAutoHyphens/>
              <w:rPr>
                <w:rFonts w:ascii="Verdana" w:hAnsi="Verdana"/>
                <w:sz w:val="19"/>
                <w:szCs w:val="19"/>
                <w:lang w:val="en-GB" w:eastAsia="ar-SA"/>
              </w:rPr>
            </w:pPr>
            <w:r w:rsidRPr="00412FCC">
              <w:rPr>
                <w:rFonts w:ascii="Verdana" w:hAnsi="Verdana"/>
                <w:sz w:val="19"/>
                <w:szCs w:val="19"/>
                <w:lang w:val="en-GB" w:eastAsia="ar-SA"/>
              </w:rPr>
              <w:t xml:space="preserve">Branston Junior Academy wish to ensure the health and safety of all users of the Academy, by educating them about the effects on their body, of the substances defined in 1. </w:t>
            </w:r>
            <w:proofErr w:type="gramStart"/>
            <w:r w:rsidRPr="00412FCC">
              <w:rPr>
                <w:rFonts w:ascii="Verdana" w:hAnsi="Verdana"/>
                <w:sz w:val="19"/>
                <w:szCs w:val="19"/>
                <w:lang w:val="en-GB" w:eastAsia="ar-SA"/>
              </w:rPr>
              <w:t>and</w:t>
            </w:r>
            <w:proofErr w:type="gramEnd"/>
            <w:r w:rsidRPr="00412FCC">
              <w:rPr>
                <w:rFonts w:ascii="Verdana" w:hAnsi="Verdana"/>
                <w:sz w:val="19"/>
                <w:szCs w:val="19"/>
                <w:lang w:val="en-GB" w:eastAsia="ar-SA"/>
              </w:rPr>
              <w:t xml:space="preserve"> 2.</w:t>
            </w:r>
          </w:p>
          <w:p w:rsidR="00412FCC" w:rsidRPr="00412FCC" w:rsidRDefault="00412FCC" w:rsidP="00412FCC">
            <w:pPr>
              <w:tabs>
                <w:tab w:val="left" w:pos="720"/>
              </w:tabs>
              <w:suppressAutoHyphens/>
              <w:rPr>
                <w:rFonts w:ascii="Verdana" w:hAnsi="Verdana"/>
                <w:sz w:val="19"/>
                <w:szCs w:val="19"/>
                <w:lang w:val="en-GB" w:eastAsia="ar-SA"/>
              </w:rPr>
            </w:pPr>
            <w:r w:rsidRPr="00412FCC">
              <w:rPr>
                <w:rFonts w:ascii="Verdana" w:hAnsi="Verdana"/>
                <w:sz w:val="19"/>
                <w:szCs w:val="19"/>
                <w:lang w:val="en-GB" w:eastAsia="ar-SA"/>
              </w:rPr>
              <w:br/>
            </w:r>
          </w:p>
          <w:p w:rsidR="00412FCC" w:rsidRPr="00412FCC" w:rsidRDefault="00412FCC" w:rsidP="00412FCC">
            <w:pPr>
              <w:suppressAutoHyphens/>
              <w:rPr>
                <w:rFonts w:ascii="Verdana" w:hAnsi="Verdana"/>
                <w:sz w:val="19"/>
                <w:szCs w:val="19"/>
                <w:lang w:val="en-GB" w:eastAsia="ar-SA"/>
              </w:rPr>
            </w:pPr>
          </w:p>
        </w:tc>
        <w:tc>
          <w:tcPr>
            <w:tcW w:w="4678" w:type="dxa"/>
            <w:shd w:val="clear" w:color="auto" w:fill="auto"/>
          </w:tcPr>
          <w:p w:rsidR="00412FCC" w:rsidRPr="00412FCC" w:rsidRDefault="00412FCC" w:rsidP="00412FCC">
            <w:pPr>
              <w:suppressAutoHyphens/>
              <w:rPr>
                <w:rFonts w:ascii="Verdana" w:hAnsi="Verdana"/>
                <w:sz w:val="19"/>
                <w:szCs w:val="19"/>
                <w:lang w:val="en-GB" w:eastAsia="ar-SA"/>
              </w:rPr>
            </w:pPr>
            <w:r w:rsidRPr="00412FCC">
              <w:rPr>
                <w:rFonts w:ascii="Verdana" w:hAnsi="Verdana"/>
                <w:sz w:val="19"/>
                <w:szCs w:val="19"/>
                <w:lang w:val="en-GB" w:eastAsia="ar-SA"/>
              </w:rPr>
              <w:t>All children are taught about the effects of drugs on the human body, as part of their Science and their PSHE curriculum and about the moral issues relating to drugs - why some people choose to take them and the consequences of substance abuse etc.</w:t>
            </w:r>
          </w:p>
          <w:p w:rsidR="00412FCC" w:rsidRPr="00412FCC" w:rsidRDefault="00412FCC" w:rsidP="00412FCC">
            <w:pPr>
              <w:suppressAutoHyphens/>
              <w:ind w:left="360"/>
              <w:rPr>
                <w:rFonts w:ascii="Verdana" w:hAnsi="Verdana"/>
                <w:sz w:val="12"/>
                <w:szCs w:val="12"/>
                <w:lang w:val="en-GB" w:eastAsia="ar-SA"/>
              </w:rPr>
            </w:pPr>
          </w:p>
          <w:p w:rsidR="00412FCC" w:rsidRPr="00412FCC" w:rsidRDefault="00412FCC" w:rsidP="00412FCC">
            <w:pPr>
              <w:suppressAutoHyphens/>
              <w:rPr>
                <w:rFonts w:ascii="Verdana" w:hAnsi="Verdana"/>
                <w:sz w:val="19"/>
                <w:szCs w:val="19"/>
                <w:lang w:val="en-GB" w:eastAsia="ar-SA"/>
              </w:rPr>
            </w:pPr>
            <w:r w:rsidRPr="00412FCC">
              <w:rPr>
                <w:rFonts w:ascii="Verdana" w:hAnsi="Verdana"/>
                <w:sz w:val="19"/>
                <w:szCs w:val="19"/>
                <w:lang w:val="en-GB" w:eastAsia="ar-SA"/>
              </w:rPr>
              <w:t>In all teaching, children’s understanding of issues relating to drugs is sought and taken into account as part of the curriculum they are given.</w:t>
            </w:r>
          </w:p>
          <w:p w:rsidR="00412FCC" w:rsidRPr="00412FCC" w:rsidRDefault="00412FCC" w:rsidP="00412FCC">
            <w:pPr>
              <w:suppressAutoHyphens/>
              <w:rPr>
                <w:rFonts w:ascii="Verdana" w:hAnsi="Verdana"/>
                <w:sz w:val="12"/>
                <w:szCs w:val="12"/>
                <w:lang w:val="en-GB" w:eastAsia="ar-SA"/>
              </w:rPr>
            </w:pPr>
          </w:p>
          <w:p w:rsidR="00412FCC" w:rsidRPr="00412FCC" w:rsidRDefault="00412FCC" w:rsidP="00412FCC">
            <w:pPr>
              <w:suppressAutoHyphens/>
              <w:rPr>
                <w:rFonts w:ascii="Verdana" w:hAnsi="Verdana"/>
                <w:sz w:val="19"/>
                <w:szCs w:val="19"/>
                <w:lang w:val="en-GB" w:eastAsia="ar-SA"/>
              </w:rPr>
            </w:pPr>
            <w:r w:rsidRPr="00412FCC">
              <w:rPr>
                <w:rFonts w:ascii="Verdana" w:hAnsi="Verdana"/>
                <w:sz w:val="19"/>
                <w:szCs w:val="19"/>
                <w:lang w:val="en-GB" w:eastAsia="ar-SA"/>
              </w:rPr>
              <w:t>In Year 3/4, children learn about the effects of tobacco and alcohol on the development of the body.</w:t>
            </w:r>
          </w:p>
          <w:p w:rsidR="00412FCC" w:rsidRPr="00412FCC" w:rsidRDefault="00412FCC" w:rsidP="00412FCC">
            <w:pPr>
              <w:suppressAutoHyphens/>
              <w:rPr>
                <w:rFonts w:ascii="Verdana" w:hAnsi="Verdana"/>
                <w:sz w:val="12"/>
                <w:szCs w:val="12"/>
                <w:lang w:val="en-GB" w:eastAsia="ar-SA"/>
              </w:rPr>
            </w:pPr>
          </w:p>
          <w:p w:rsidR="00412FCC" w:rsidRPr="00412FCC" w:rsidRDefault="00412FCC" w:rsidP="00412FCC">
            <w:pPr>
              <w:suppressAutoHyphens/>
              <w:rPr>
                <w:rFonts w:ascii="Verdana" w:hAnsi="Verdana"/>
                <w:sz w:val="19"/>
                <w:szCs w:val="19"/>
                <w:lang w:val="en-GB" w:eastAsia="ar-SA"/>
              </w:rPr>
            </w:pPr>
            <w:r w:rsidRPr="00412FCC">
              <w:rPr>
                <w:rFonts w:ascii="Verdana" w:hAnsi="Verdana"/>
                <w:sz w:val="19"/>
                <w:szCs w:val="19"/>
                <w:lang w:val="en-GB" w:eastAsia="ar-SA"/>
              </w:rPr>
              <w:t>In Year 5/6, children revisit the above information and learn about the dangers to the body, of substance abuse.</w:t>
            </w:r>
          </w:p>
          <w:p w:rsidR="00412FCC" w:rsidRPr="00412FCC" w:rsidRDefault="00412FCC" w:rsidP="00412FCC">
            <w:pPr>
              <w:suppressAutoHyphens/>
              <w:ind w:left="1080" w:firstLine="360"/>
              <w:rPr>
                <w:rFonts w:ascii="Verdana" w:hAnsi="Verdana"/>
                <w:sz w:val="12"/>
                <w:szCs w:val="12"/>
                <w:lang w:val="en-GB" w:eastAsia="ar-SA"/>
              </w:rPr>
            </w:pPr>
          </w:p>
          <w:p w:rsidR="00412FCC" w:rsidRPr="00412FCC" w:rsidRDefault="00412FCC" w:rsidP="00412FCC">
            <w:pPr>
              <w:suppressAutoHyphens/>
              <w:rPr>
                <w:rFonts w:ascii="Verdana" w:hAnsi="Verdana"/>
                <w:sz w:val="19"/>
                <w:szCs w:val="19"/>
                <w:lang w:val="en-GB" w:eastAsia="ar-SA"/>
              </w:rPr>
            </w:pPr>
            <w:r w:rsidRPr="00412FCC">
              <w:rPr>
                <w:rFonts w:ascii="Verdana" w:hAnsi="Verdana"/>
                <w:sz w:val="19"/>
                <w:szCs w:val="19"/>
                <w:lang w:val="en-GB" w:eastAsia="ar-SA"/>
              </w:rPr>
              <w:t xml:space="preserve">The Academy may use the expertise and knowledge of outside agencies alongside the expertise of teachers wherever possible; to deliver those aspects of the curriculum that it has </w:t>
            </w:r>
            <w:proofErr w:type="gramStart"/>
            <w:r w:rsidRPr="00412FCC">
              <w:rPr>
                <w:rFonts w:ascii="Verdana" w:hAnsi="Verdana"/>
                <w:sz w:val="19"/>
                <w:szCs w:val="19"/>
                <w:lang w:val="en-GB" w:eastAsia="ar-SA"/>
              </w:rPr>
              <w:t>neither skills, experience nor equipment to provide</w:t>
            </w:r>
            <w:proofErr w:type="gramEnd"/>
            <w:r w:rsidRPr="00412FCC">
              <w:rPr>
                <w:rFonts w:ascii="Verdana" w:hAnsi="Verdana"/>
                <w:sz w:val="19"/>
                <w:szCs w:val="19"/>
                <w:lang w:val="en-GB" w:eastAsia="ar-SA"/>
              </w:rPr>
              <w:t>.</w:t>
            </w:r>
          </w:p>
          <w:p w:rsidR="00412FCC" w:rsidRPr="00412FCC" w:rsidRDefault="00412FCC" w:rsidP="00412FCC">
            <w:pPr>
              <w:suppressAutoHyphens/>
              <w:rPr>
                <w:rFonts w:ascii="Verdana" w:hAnsi="Verdana"/>
                <w:sz w:val="19"/>
                <w:szCs w:val="19"/>
                <w:u w:val="single"/>
                <w:lang w:val="en-GB" w:eastAsia="ar-SA"/>
              </w:rPr>
            </w:pPr>
          </w:p>
          <w:p w:rsidR="00412FCC" w:rsidRPr="00412FCC" w:rsidRDefault="00412FCC" w:rsidP="00412FCC">
            <w:pPr>
              <w:suppressAutoHyphens/>
              <w:jc w:val="both"/>
              <w:rPr>
                <w:rFonts w:ascii="Verdana" w:hAnsi="Verdana"/>
                <w:sz w:val="19"/>
                <w:szCs w:val="19"/>
                <w:lang w:val="en-GB" w:eastAsia="ar-SA"/>
              </w:rPr>
            </w:pPr>
          </w:p>
        </w:tc>
        <w:tc>
          <w:tcPr>
            <w:tcW w:w="4678" w:type="dxa"/>
            <w:shd w:val="clear" w:color="auto" w:fill="auto"/>
          </w:tcPr>
          <w:p w:rsidR="00412FCC" w:rsidRPr="00412FCC" w:rsidRDefault="00412FCC" w:rsidP="00412FCC">
            <w:pPr>
              <w:tabs>
                <w:tab w:val="left" w:pos="1440"/>
              </w:tabs>
              <w:suppressAutoHyphens/>
              <w:rPr>
                <w:rFonts w:ascii="Verdana" w:hAnsi="Verdana"/>
                <w:sz w:val="19"/>
                <w:szCs w:val="19"/>
                <w:lang w:val="en-GB" w:eastAsia="ar-SA"/>
              </w:rPr>
            </w:pPr>
            <w:r w:rsidRPr="00412FCC">
              <w:rPr>
                <w:rFonts w:ascii="Verdana" w:hAnsi="Verdana"/>
                <w:sz w:val="19"/>
                <w:szCs w:val="19"/>
                <w:lang w:val="en-GB" w:eastAsia="ar-SA"/>
              </w:rPr>
              <w:t>As a result of studying Drugs Education, children learn:</w:t>
            </w:r>
          </w:p>
          <w:p w:rsidR="00412FCC" w:rsidRPr="00412FCC" w:rsidRDefault="00412FCC" w:rsidP="00412FCC">
            <w:pPr>
              <w:numPr>
                <w:ilvl w:val="0"/>
                <w:numId w:val="24"/>
              </w:numPr>
              <w:tabs>
                <w:tab w:val="left" w:pos="319"/>
              </w:tabs>
              <w:suppressAutoHyphens/>
              <w:rPr>
                <w:rFonts w:ascii="Verdana" w:hAnsi="Verdana"/>
                <w:sz w:val="19"/>
                <w:szCs w:val="19"/>
                <w:lang w:val="en-GB" w:eastAsia="ar-SA"/>
              </w:rPr>
            </w:pPr>
            <w:r w:rsidRPr="00412FCC">
              <w:rPr>
                <w:rFonts w:ascii="Verdana" w:hAnsi="Verdana"/>
                <w:sz w:val="19"/>
                <w:szCs w:val="19"/>
                <w:lang w:val="en-GB" w:eastAsia="ar-SA"/>
              </w:rPr>
              <w:t>that some drugs are useful (medicines) and some drugs are not, but all have the potential to harm if used inappropriately</w:t>
            </w:r>
          </w:p>
          <w:p w:rsidR="00412FCC" w:rsidRPr="00412FCC" w:rsidRDefault="00412FCC" w:rsidP="00412FCC">
            <w:pPr>
              <w:numPr>
                <w:ilvl w:val="0"/>
                <w:numId w:val="24"/>
              </w:numPr>
              <w:tabs>
                <w:tab w:val="left" w:pos="319"/>
              </w:tabs>
              <w:suppressAutoHyphens/>
              <w:rPr>
                <w:rFonts w:ascii="Verdana" w:hAnsi="Verdana"/>
                <w:sz w:val="19"/>
                <w:szCs w:val="19"/>
                <w:lang w:val="en-GB" w:eastAsia="ar-SA"/>
              </w:rPr>
            </w:pPr>
            <w:r w:rsidRPr="00412FCC">
              <w:rPr>
                <w:rFonts w:ascii="Verdana" w:hAnsi="Verdana"/>
                <w:sz w:val="19"/>
                <w:szCs w:val="19"/>
                <w:lang w:val="en-GB" w:eastAsia="ar-SA"/>
              </w:rPr>
              <w:t xml:space="preserve">that it is better to have a healthy lifestyle, without using non-medicinal drugs </w:t>
            </w:r>
          </w:p>
          <w:p w:rsidR="00412FCC" w:rsidRPr="00412FCC" w:rsidRDefault="00412FCC" w:rsidP="00412FCC">
            <w:pPr>
              <w:numPr>
                <w:ilvl w:val="0"/>
                <w:numId w:val="24"/>
              </w:numPr>
              <w:tabs>
                <w:tab w:val="left" w:pos="319"/>
              </w:tabs>
              <w:suppressAutoHyphens/>
              <w:ind w:left="319"/>
              <w:rPr>
                <w:rFonts w:ascii="Verdana" w:hAnsi="Verdana"/>
                <w:sz w:val="19"/>
                <w:szCs w:val="19"/>
                <w:lang w:val="en-GB" w:eastAsia="ar-SA"/>
              </w:rPr>
            </w:pPr>
            <w:r w:rsidRPr="00412FCC">
              <w:rPr>
                <w:rFonts w:ascii="Verdana" w:hAnsi="Verdana"/>
                <w:sz w:val="19"/>
                <w:szCs w:val="19"/>
                <w:lang w:val="en-GB" w:eastAsia="ar-SA"/>
              </w:rPr>
              <w:t>how to keep oneself safe</w:t>
            </w:r>
          </w:p>
        </w:tc>
      </w:tr>
    </w:tbl>
    <w:p w:rsidR="00A2740B" w:rsidRPr="00412FCC" w:rsidRDefault="00A2740B" w:rsidP="00412FCC">
      <w:bookmarkStart w:id="0" w:name="_GoBack"/>
      <w:bookmarkEnd w:id="0"/>
    </w:p>
    <w:sectPr w:rsidR="00A2740B" w:rsidRPr="00412FCC" w:rsidSect="00B93E8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bullet"/>
      <w:lvlText w:val=""/>
      <w:lvlJc w:val="left"/>
      <w:pPr>
        <w:tabs>
          <w:tab w:val="num" w:pos="2160"/>
        </w:tabs>
        <w:ind w:left="2160" w:hanging="360"/>
      </w:pPr>
      <w:rPr>
        <w:rFonts w:ascii="Symbol" w:hAnsi="Symbol"/>
      </w:rPr>
    </w:lvl>
  </w:abstractNum>
  <w:abstractNum w:abstractNumId="1">
    <w:nsid w:val="011367DB"/>
    <w:multiLevelType w:val="hybridMultilevel"/>
    <w:tmpl w:val="2FB0CC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B92DAC"/>
    <w:multiLevelType w:val="hybridMultilevel"/>
    <w:tmpl w:val="B4D27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DDA2953"/>
    <w:multiLevelType w:val="hybridMultilevel"/>
    <w:tmpl w:val="2C645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26B3F56"/>
    <w:multiLevelType w:val="hybridMultilevel"/>
    <w:tmpl w:val="0F7C4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3E03638"/>
    <w:multiLevelType w:val="hybridMultilevel"/>
    <w:tmpl w:val="6FA208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68D5764"/>
    <w:multiLevelType w:val="hybridMultilevel"/>
    <w:tmpl w:val="A36CD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B897348"/>
    <w:multiLevelType w:val="hybridMultilevel"/>
    <w:tmpl w:val="A4E67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2AB761D"/>
    <w:multiLevelType w:val="hybridMultilevel"/>
    <w:tmpl w:val="2C4A70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A9512EF"/>
    <w:multiLevelType w:val="hybridMultilevel"/>
    <w:tmpl w:val="1E085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AC97DEA"/>
    <w:multiLevelType w:val="hybridMultilevel"/>
    <w:tmpl w:val="90628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C037940"/>
    <w:multiLevelType w:val="hybridMultilevel"/>
    <w:tmpl w:val="AEE066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0193DB8"/>
    <w:multiLevelType w:val="hybridMultilevel"/>
    <w:tmpl w:val="18608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42B5A61"/>
    <w:multiLevelType w:val="hybridMultilevel"/>
    <w:tmpl w:val="21923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7B11918"/>
    <w:multiLevelType w:val="hybridMultilevel"/>
    <w:tmpl w:val="BDA4D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AEC5835"/>
    <w:multiLevelType w:val="hybridMultilevel"/>
    <w:tmpl w:val="5D108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E176A85"/>
    <w:multiLevelType w:val="hybridMultilevel"/>
    <w:tmpl w:val="9C166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0462E8A"/>
    <w:multiLevelType w:val="hybridMultilevel"/>
    <w:tmpl w:val="56F0D0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4474AD9"/>
    <w:multiLevelType w:val="hybridMultilevel"/>
    <w:tmpl w:val="466C17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47E79D5"/>
    <w:multiLevelType w:val="hybridMultilevel"/>
    <w:tmpl w:val="64848D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D82047"/>
    <w:multiLevelType w:val="hybridMultilevel"/>
    <w:tmpl w:val="18444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7635DC7"/>
    <w:multiLevelType w:val="hybridMultilevel"/>
    <w:tmpl w:val="C316D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78B6AA9"/>
    <w:multiLevelType w:val="hybridMultilevel"/>
    <w:tmpl w:val="50CA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8C85FBD"/>
    <w:multiLevelType w:val="hybridMultilevel"/>
    <w:tmpl w:val="3112F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21"/>
  </w:num>
  <w:num w:numId="4">
    <w:abstractNumId w:val="6"/>
  </w:num>
  <w:num w:numId="5">
    <w:abstractNumId w:val="3"/>
  </w:num>
  <w:num w:numId="6">
    <w:abstractNumId w:val="4"/>
  </w:num>
  <w:num w:numId="7">
    <w:abstractNumId w:val="9"/>
  </w:num>
  <w:num w:numId="8">
    <w:abstractNumId w:val="19"/>
  </w:num>
  <w:num w:numId="9">
    <w:abstractNumId w:val="12"/>
  </w:num>
  <w:num w:numId="10">
    <w:abstractNumId w:val="23"/>
  </w:num>
  <w:num w:numId="11">
    <w:abstractNumId w:val="22"/>
  </w:num>
  <w:num w:numId="12">
    <w:abstractNumId w:val="14"/>
  </w:num>
  <w:num w:numId="13">
    <w:abstractNumId w:val="13"/>
  </w:num>
  <w:num w:numId="14">
    <w:abstractNumId w:val="10"/>
  </w:num>
  <w:num w:numId="15">
    <w:abstractNumId w:val="11"/>
  </w:num>
  <w:num w:numId="16">
    <w:abstractNumId w:val="5"/>
  </w:num>
  <w:num w:numId="17">
    <w:abstractNumId w:val="16"/>
  </w:num>
  <w:num w:numId="18">
    <w:abstractNumId w:val="7"/>
  </w:num>
  <w:num w:numId="19">
    <w:abstractNumId w:val="0"/>
  </w:num>
  <w:num w:numId="20">
    <w:abstractNumId w:val="1"/>
  </w:num>
  <w:num w:numId="21">
    <w:abstractNumId w:val="20"/>
  </w:num>
  <w:num w:numId="22">
    <w:abstractNumId w:val="18"/>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87"/>
    <w:rsid w:val="00063D48"/>
    <w:rsid w:val="00086095"/>
    <w:rsid w:val="00166BA2"/>
    <w:rsid w:val="00231C84"/>
    <w:rsid w:val="00412FCC"/>
    <w:rsid w:val="004A255B"/>
    <w:rsid w:val="00520041"/>
    <w:rsid w:val="00661F57"/>
    <w:rsid w:val="00773936"/>
    <w:rsid w:val="007C530B"/>
    <w:rsid w:val="007F5B3E"/>
    <w:rsid w:val="0081155B"/>
    <w:rsid w:val="00A10CE2"/>
    <w:rsid w:val="00A2740B"/>
    <w:rsid w:val="00A97323"/>
    <w:rsid w:val="00AC624C"/>
    <w:rsid w:val="00B93E87"/>
    <w:rsid w:val="00FC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E8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9F7D78B5.dotm</Template>
  <TotalTime>0</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ARK ICT Solutions</Company>
  <LinksUpToDate>false</LinksUpToDate>
  <CharactersWithSpaces>1909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2019-09-26T14:00:00Z</dcterms:created>
  <dcterms:modified xsi:type="dcterms:W3CDTF">2019-09-26T14:00:00Z</dcterms:modified>
</cp:coreProperties>
</file>